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3648" w:rsidRDefault="00AF3648">
      <w:pPr>
        <w:spacing w:after="0" w:line="240" w:lineRule="auto"/>
        <w:rPr>
          <w:rFonts w:ascii="Arial" w:eastAsia="Arial" w:hAnsi="Arial" w:cs="Arial"/>
          <w:b/>
          <w:sz w:val="36"/>
          <w:szCs w:val="36"/>
        </w:rPr>
      </w:pPr>
    </w:p>
    <w:p w:rsidR="00AF3648" w:rsidRDefault="00D65EAE">
      <w:pPr>
        <w:pBdr>
          <w:top w:val="nil"/>
          <w:left w:val="nil"/>
          <w:bottom w:val="nil"/>
          <w:right w:val="nil"/>
          <w:between w:val="nil"/>
        </w:pBdr>
        <w:spacing w:after="240" w:line="240" w:lineRule="auto"/>
        <w:rPr>
          <w:rFonts w:ascii="Arial" w:eastAsia="Arial" w:hAnsi="Arial" w:cs="Arial"/>
          <w:b/>
          <w:sz w:val="32"/>
          <w:szCs w:val="32"/>
        </w:rPr>
      </w:pPr>
      <w:r>
        <w:rPr>
          <w:rFonts w:ascii="Arial" w:eastAsia="Arial" w:hAnsi="Arial" w:cs="Arial"/>
          <w:b/>
          <w:color w:val="000000"/>
          <w:sz w:val="32"/>
          <w:szCs w:val="32"/>
        </w:rPr>
        <w:t>Call-Off Schedule 10 (Exit Management)</w:t>
      </w:r>
    </w:p>
    <w:p w:rsidR="00AF3648" w:rsidRDefault="00D65EAE">
      <w:pPr>
        <w:numPr>
          <w:ilvl w:val="0"/>
          <w:numId w:val="2"/>
        </w:numPr>
        <w:pBdr>
          <w:top w:val="nil"/>
          <w:left w:val="nil"/>
          <w:bottom w:val="nil"/>
          <w:right w:val="nil"/>
          <w:between w:val="nil"/>
        </w:pBdr>
        <w:tabs>
          <w:tab w:val="left" w:pos="0"/>
        </w:tabs>
        <w:spacing w:before="240" w:after="240" w:line="240" w:lineRule="auto"/>
        <w:ind w:hanging="644"/>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“Core Network”</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sz w:val="24"/>
                <w:szCs w:val="24"/>
              </w:rPr>
              <w:t xml:space="preserve">the provision of any shared central core network capability forming part of the overall Services delivered to the Buyer, which is not specific or exclusive to a specific Call-Off Contract, and excludes any configuration information specifically associated </w:t>
            </w:r>
            <w:r>
              <w:rPr>
                <w:rFonts w:ascii="Arial" w:eastAsia="Arial" w:hAnsi="Arial" w:cs="Arial"/>
                <w:sz w:val="24"/>
                <w:szCs w:val="24"/>
              </w:rPr>
              <w:t>with a specific Call-Off Contract;</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“Core Network Assets”</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sz w:val="24"/>
                <w:szCs w:val="24"/>
              </w:rPr>
              <w:t>the assets used in the provision of the Core Network</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Supplier Assets used exclusively by the Suppl</w:t>
            </w:r>
            <w:bookmarkStart w:id="0" w:name="_GoBack"/>
            <w:bookmarkEnd w:id="0"/>
            <w:r w:rsidRPr="00CB5141">
              <w:rPr>
                <w:rFonts w:ascii="Arial" w:eastAsia="Arial" w:hAnsi="Arial" w:cs="Arial"/>
                <w:color w:val="000000"/>
                <w:sz w:val="24"/>
                <w:szCs w:val="24"/>
              </w:rPr>
              <w:t>ier [</w:t>
            </w:r>
            <w:r w:rsidRPr="00CB5141">
              <w:rPr>
                <w:rFonts w:ascii="Arial" w:eastAsia="Arial" w:hAnsi="Arial" w:cs="Arial"/>
                <w:color w:val="000000"/>
                <w:sz w:val="24"/>
                <w:szCs w:val="24"/>
              </w:rPr>
              <w:t>or a Key Subcontractor</w:t>
            </w:r>
            <w:r w:rsidRPr="00CB5141">
              <w:rPr>
                <w:rFonts w:ascii="Arial" w:eastAsia="Arial" w:hAnsi="Arial" w:cs="Arial"/>
                <w:color w:val="000000"/>
                <w:sz w:val="24"/>
                <w:szCs w:val="24"/>
              </w:rPr>
              <w:t>]</w:t>
            </w:r>
            <w:r>
              <w:rPr>
                <w:rFonts w:ascii="Arial" w:eastAsia="Arial" w:hAnsi="Arial" w:cs="Arial"/>
                <w:color w:val="000000"/>
                <w:sz w:val="24"/>
                <w:szCs w:val="24"/>
              </w:rPr>
              <w:t xml:space="preserve"> in the provision of the Deliverables;</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AF3648" w:rsidRDefault="00D65EAE">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sidRPr="00CB5141">
              <w:rPr>
                <w:rFonts w:ascii="Arial" w:eastAsia="Arial" w:hAnsi="Arial" w:cs="Arial"/>
                <w:color w:val="000000"/>
                <w:sz w:val="24"/>
                <w:szCs w:val="24"/>
              </w:rPr>
              <w:t>or a Key Subcontractor</w:t>
            </w:r>
            <w:r>
              <w:rPr>
                <w:rFonts w:ascii="Arial" w:eastAsia="Arial" w:hAnsi="Arial" w:cs="Arial"/>
                <w:color w:val="000000"/>
                <w:sz w:val="24"/>
                <w:szCs w:val="24"/>
              </w:rPr>
              <w:t xml:space="preserve">] in connection with the Deliverables but which are also used by the Supplier </w:t>
            </w:r>
            <w:r w:rsidRPr="00CB5141">
              <w:rPr>
                <w:rFonts w:ascii="Arial" w:eastAsia="Arial" w:hAnsi="Arial" w:cs="Arial"/>
                <w:color w:val="000000"/>
                <w:sz w:val="24"/>
                <w:szCs w:val="24"/>
              </w:rPr>
              <w:t>[or Key Subcontractor]</w:t>
            </w:r>
            <w:r>
              <w:rPr>
                <w:rFonts w:ascii="Arial" w:eastAsia="Arial" w:hAnsi="Arial" w:cs="Arial"/>
                <w:color w:val="000000"/>
                <w:sz w:val="24"/>
                <w:szCs w:val="24"/>
              </w:rPr>
              <w:t xml:space="preserve"> for other purposes e</w:t>
            </w:r>
            <w:r>
              <w:rPr>
                <w:rFonts w:ascii="Arial" w:eastAsia="Arial" w:hAnsi="Arial" w:cs="Arial"/>
                <w:sz w:val="24"/>
                <w:szCs w:val="24"/>
              </w:rPr>
              <w:t xml:space="preserve">xcluding the Core </w:t>
            </w:r>
            <w:r>
              <w:rPr>
                <w:rFonts w:ascii="Arial" w:eastAsia="Arial" w:hAnsi="Arial" w:cs="Arial"/>
                <w:sz w:val="24"/>
                <w:szCs w:val="24"/>
              </w:rPr>
              <w:t>Network Assets</w:t>
            </w:r>
            <w:r>
              <w:rPr>
                <w:rFonts w:ascii="Arial" w:eastAsia="Arial" w:hAnsi="Arial" w:cs="Arial"/>
                <w:color w:val="000000"/>
                <w:sz w:val="24"/>
                <w:szCs w:val="24"/>
              </w:rPr>
              <w:t>;</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"Registers"</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w:t>
            </w:r>
            <w:r>
              <w:rPr>
                <w:rFonts w:ascii="Arial" w:eastAsia="Arial" w:hAnsi="Arial" w:cs="Arial"/>
                <w:b/>
                <w:color w:val="000000"/>
                <w:sz w:val="24"/>
                <w:szCs w:val="24"/>
              </w:rPr>
              <w:t>es"</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rsidR="00AF3648" w:rsidRDefault="00D65EAE">
            <w:pPr>
              <w:numPr>
                <w:ilvl w:val="0"/>
                <w:numId w:val="1"/>
              </w:numPr>
              <w:pBdr>
                <w:top w:val="nil"/>
                <w:left w:val="nil"/>
                <w:bottom w:val="nil"/>
                <w:right w:val="nil"/>
                <w:between w:val="nil"/>
              </w:pBdr>
              <w:tabs>
                <w:tab w:val="left" w:pos="-9"/>
              </w:tabs>
              <w:rPr>
                <w:rFonts w:ascii="Arial" w:eastAsia="Arial" w:hAnsi="Arial" w:cs="Arial"/>
                <w:sz w:val="24"/>
                <w:szCs w:val="24"/>
              </w:rPr>
            </w:pPr>
            <w:r>
              <w:rPr>
                <w:rFonts w:ascii="Arial" w:eastAsia="Arial" w:hAnsi="Arial" w:cs="Arial"/>
                <w:color w:val="000000"/>
                <w:sz w:val="24"/>
                <w:szCs w:val="24"/>
              </w:rPr>
              <w:t xml:space="preserve">the provision of any configuration information reasonably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the implementation of the Replacement Services excluding the Core Network; </w:t>
            </w:r>
          </w:p>
          <w:p w:rsidR="00AF3648" w:rsidRDefault="00D65EAE">
            <w:pPr>
              <w:numPr>
                <w:ilvl w:val="0"/>
                <w:numId w:val="1"/>
              </w:numPr>
              <w:pBdr>
                <w:top w:val="nil"/>
                <w:left w:val="nil"/>
                <w:bottom w:val="nil"/>
                <w:right w:val="nil"/>
                <w:between w:val="nil"/>
              </w:pBdr>
              <w:tabs>
                <w:tab w:val="left" w:pos="-9"/>
              </w:tabs>
              <w:spacing w:after="120"/>
              <w:rPr>
                <w:rFonts w:ascii="Arial" w:eastAsia="Arial" w:hAnsi="Arial" w:cs="Arial"/>
                <w:sz w:val="24"/>
                <w:szCs w:val="24"/>
              </w:rPr>
            </w:pPr>
            <w:r>
              <w:rPr>
                <w:rFonts w:ascii="Arial" w:eastAsia="Arial" w:hAnsi="Arial" w:cs="Arial"/>
                <w:color w:val="000000"/>
                <w:sz w:val="24"/>
                <w:szCs w:val="24"/>
              </w:rPr>
              <w:t>any activity required to facilitate the transition from the live operation of an existing Service to the live operation of a Replacement Service excluding the Core Network and</w:t>
            </w:r>
          </w:p>
          <w:p w:rsidR="00AF3648" w:rsidRDefault="00D65EAE">
            <w:pPr>
              <w:numPr>
                <w:ilvl w:val="0"/>
                <w:numId w:val="1"/>
              </w:numPr>
              <w:pBdr>
                <w:top w:val="nil"/>
                <w:left w:val="nil"/>
                <w:bottom w:val="nil"/>
                <w:right w:val="nil"/>
                <w:between w:val="nil"/>
              </w:pBdr>
              <w:tabs>
                <w:tab w:val="left" w:pos="-9"/>
              </w:tabs>
              <w:spacing w:after="120"/>
              <w:rPr>
                <w:rFonts w:ascii="Arial" w:eastAsia="Arial" w:hAnsi="Arial" w:cs="Arial"/>
                <w:sz w:val="24"/>
                <w:szCs w:val="24"/>
              </w:rPr>
            </w:pPr>
            <w:r>
              <w:rPr>
                <w:rFonts w:ascii="Arial" w:eastAsia="Arial" w:hAnsi="Arial" w:cs="Arial"/>
                <w:color w:val="000000"/>
                <w:sz w:val="24"/>
                <w:szCs w:val="24"/>
              </w:rPr>
              <w:t>the activities to be performed by the Supplier pursuant to the Exit Plan, and ot</w:t>
            </w:r>
            <w:r>
              <w:rPr>
                <w:rFonts w:ascii="Arial" w:eastAsia="Arial" w:hAnsi="Arial" w:cs="Arial"/>
                <w:color w:val="000000"/>
                <w:sz w:val="24"/>
                <w:szCs w:val="24"/>
              </w:rPr>
              <w:t>her assistance required by the Buyer pursuant to the Termination Assistance Notice;</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Exclusive Assets which are ca</w:t>
            </w:r>
            <w:r>
              <w:rPr>
                <w:rFonts w:ascii="Arial" w:eastAsia="Arial" w:hAnsi="Arial" w:cs="Arial"/>
                <w:color w:val="000000"/>
                <w:sz w:val="24"/>
                <w:szCs w:val="24"/>
              </w:rPr>
              <w:t>pable of legal transfer to the Buyer;</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Sub-Contracts, licences for Supplier's Software, licences for Third Party Software or other agreements which are necessary to enable the Buyer or any Replacement Supplier to provide the </w:t>
            </w:r>
            <w:r>
              <w:rPr>
                <w:rFonts w:ascii="Arial" w:eastAsia="Arial" w:hAnsi="Arial" w:cs="Arial"/>
                <w:color w:val="000000"/>
                <w:sz w:val="24"/>
                <w:szCs w:val="24"/>
              </w:rPr>
              <w:lastRenderedPageBreak/>
              <w:t>Deliverables or the Replacement Goods and/or Replacement Services, inc</w:t>
            </w:r>
            <w:r>
              <w:rPr>
                <w:rFonts w:ascii="Arial" w:eastAsia="Arial" w:hAnsi="Arial" w:cs="Arial"/>
                <w:color w:val="000000"/>
                <w:sz w:val="24"/>
                <w:szCs w:val="24"/>
              </w:rPr>
              <w:t>luding in relation to licences all relevant Documentation, exc</w:t>
            </w:r>
            <w:r>
              <w:rPr>
                <w:rFonts w:ascii="Arial" w:eastAsia="Arial" w:hAnsi="Arial" w:cs="Arial"/>
                <w:sz w:val="24"/>
                <w:szCs w:val="24"/>
              </w:rPr>
              <w:t>luding such contracts relating to the Core Network</w:t>
            </w:r>
            <w:r>
              <w:rPr>
                <w:rFonts w:ascii="Arial" w:eastAsia="Arial" w:hAnsi="Arial" w:cs="Arial"/>
                <w:color w:val="000000"/>
                <w:sz w:val="24"/>
                <w:szCs w:val="24"/>
              </w:rPr>
              <w:t>;</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"Transferring Assets"</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AF3648">
        <w:tc>
          <w:tcPr>
            <w:tcW w:w="3060" w:type="dxa"/>
          </w:tcPr>
          <w:p w:rsidR="00AF3648" w:rsidRDefault="00D65EA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AF3648" w:rsidRDefault="00D65EAE">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rsidR="00AF3648" w:rsidRDefault="00D65EAE">
      <w:pPr>
        <w:numPr>
          <w:ilvl w:val="0"/>
          <w:numId w:val="2"/>
        </w:numPr>
        <w:pBdr>
          <w:top w:val="nil"/>
          <w:left w:val="nil"/>
          <w:bottom w:val="nil"/>
          <w:right w:val="nil"/>
          <w:between w:val="nil"/>
        </w:pBdr>
        <w:tabs>
          <w:tab w:val="left" w:pos="0"/>
        </w:tabs>
        <w:spacing w:before="240" w:after="240" w:line="240" w:lineRule="auto"/>
        <w:ind w:hanging="644"/>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create and maintain a detailed </w:t>
      </w:r>
      <w:r>
        <w:rPr>
          <w:rFonts w:ascii="Arial" w:eastAsia="Arial" w:hAnsi="Arial" w:cs="Arial"/>
          <w:color w:val="000000"/>
          <w:sz w:val="24"/>
          <w:szCs w:val="24"/>
        </w:rPr>
        <w:t>register of all Supplier Assets (including description, condition, location and details of ownership and status as either Exclusive Assets or Non-Exclusive Assets and Net Book Value) and Sub-contracts and other relevant agreements required in connection wi</w:t>
      </w:r>
      <w:r>
        <w:rPr>
          <w:rFonts w:ascii="Arial" w:eastAsia="Arial" w:hAnsi="Arial" w:cs="Arial"/>
          <w:color w:val="000000"/>
          <w:sz w:val="24"/>
          <w:szCs w:val="24"/>
        </w:rPr>
        <w:t>th the Deliverables insofar as they relate to Exclusive Assets and Non-Exclusive Assets; and</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r>
        <w:rPr>
          <w:rFonts w:ascii="Arial" w:eastAsia="Arial" w:hAnsi="Arial" w:cs="Arial"/>
          <w:color w:val="000000"/>
          <w:sz w:val="24"/>
          <w:szCs w:val="24"/>
        </w:rPr>
        <w:t>excluding the Core Network</w:t>
      </w:r>
    </w:p>
    <w:p w:rsidR="00AF3648" w:rsidRDefault="00D65EAE">
      <w:pPr>
        <w:pBdr>
          <w:top w:val="nil"/>
          <w:left w:val="nil"/>
          <w:bottom w:val="nil"/>
          <w:right w:val="nil"/>
          <w:between w:val="nil"/>
        </w:pBdr>
        <w:tabs>
          <w:tab w:val="left" w:pos="1985"/>
          <w:tab w:val="left" w:pos="2127"/>
        </w:tabs>
        <w:spacing w:before="120" w:after="120" w:line="240" w:lineRule="auto"/>
        <w:ind w:left="1656" w:hanging="805"/>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The Supplier shall:</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procure that all licences for Third Party Software and all Sub-Contracts in relation to Exclusive and Non-Exclusive Assets shall be assignable and/or capable of novation (at no cost or restriction to the Buyer) at the request of the Buyer to the Buyer (and</w:t>
      </w:r>
      <w:r>
        <w:rPr>
          <w:rFonts w:ascii="Arial" w:eastAsia="Arial" w:hAnsi="Arial" w:cs="Arial"/>
          <w:color w:val="000000"/>
          <w:sz w:val="24"/>
          <w:szCs w:val="24"/>
        </w:rPr>
        <w:t>/or its nominee) and/or any Replacement Supplier upon the Supplier ceasing to provide the Deliverables (or part of them) and if the Supplier is unable to do so then the Supplier shall promptly notify the Buyer and the Buyer may require the Supplier to proc</w:t>
      </w:r>
      <w:r>
        <w:rPr>
          <w:rFonts w:ascii="Arial" w:eastAsia="Arial" w:hAnsi="Arial" w:cs="Arial"/>
          <w:color w:val="000000"/>
          <w:sz w:val="24"/>
          <w:szCs w:val="24"/>
        </w:rPr>
        <w:t xml:space="preserve">ure an alternative Subcontractor or provider of Deliverables.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w:t>
      </w:r>
      <w:r>
        <w:rPr>
          <w:rFonts w:ascii="Arial" w:eastAsia="Arial" w:hAnsi="Arial" w:cs="Arial"/>
          <w:color w:val="000000"/>
          <w:sz w:val="24"/>
          <w:szCs w:val="24"/>
        </w:rPr>
        <w:t>ermination of this Contract.</w:t>
      </w:r>
    </w:p>
    <w:p w:rsidR="00AF3648" w:rsidRDefault="00D65EAE">
      <w:pPr>
        <w:numPr>
          <w:ilvl w:val="0"/>
          <w:numId w:val="2"/>
        </w:numPr>
        <w:pBdr>
          <w:top w:val="nil"/>
          <w:left w:val="nil"/>
          <w:bottom w:val="nil"/>
          <w:right w:val="nil"/>
          <w:between w:val="nil"/>
        </w:pBdr>
        <w:tabs>
          <w:tab w:val="left" w:pos="0"/>
        </w:tabs>
        <w:spacing w:before="240" w:after="240" w:line="240" w:lineRule="auto"/>
        <w:ind w:hanging="644"/>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lastRenderedPageBreak/>
        <w:t>The Supplier shall, on reasonable notice, provide to the Buyer and/or its potential Replacement Suppliers (subject to the potential Replacement Suppliers entering into reasonable writt</w:t>
      </w:r>
      <w:r>
        <w:rPr>
          <w:rFonts w:ascii="Arial" w:eastAsia="Arial" w:hAnsi="Arial" w:cs="Arial"/>
          <w:color w:val="000000"/>
          <w:sz w:val="24"/>
          <w:szCs w:val="24"/>
        </w:rPr>
        <w:t>en confidentiality undertakings), such information (including any access) as the Buyer shall reasonably require in order to facilitate the preparation by the Buyer of any invitation to tender and/or to facilitate any potential Replacement Suppliers underta</w:t>
      </w:r>
      <w:r>
        <w:rPr>
          <w:rFonts w:ascii="Arial" w:eastAsia="Arial" w:hAnsi="Arial" w:cs="Arial"/>
          <w:color w:val="000000"/>
          <w:sz w:val="24"/>
          <w:szCs w:val="24"/>
        </w:rPr>
        <w:t>king due diligence (the "Exit Information").</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w:t>
      </w:r>
      <w:r>
        <w:rPr>
          <w:rFonts w:ascii="Arial" w:eastAsia="Arial" w:hAnsi="Arial" w:cs="Arial"/>
          <w:color w:val="000000"/>
          <w:sz w:val="24"/>
          <w:szCs w:val="24"/>
        </w:rPr>
        <w:t xml:space="preserve"> the extent that such disclosure is necessary in connection with such engagement.</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(excluding the Core Network) whi</w:t>
      </w:r>
      <w:r>
        <w:rPr>
          <w:rFonts w:ascii="Arial" w:eastAsia="Arial" w:hAnsi="Arial" w:cs="Arial"/>
          <w:color w:val="000000"/>
          <w:sz w:val="24"/>
          <w:szCs w:val="24"/>
        </w:rPr>
        <w:t>ch may adversely impact upon the provision of any Deliverables (and shall consult the Buyer in relation to any such changes).</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w:t>
      </w:r>
      <w:r>
        <w:rPr>
          <w:rFonts w:ascii="Arial" w:eastAsia="Arial" w:hAnsi="Arial" w:cs="Arial"/>
          <w:color w:val="000000"/>
          <w:sz w:val="24"/>
          <w:szCs w:val="24"/>
        </w:rPr>
        <w:t>epare an informed offer for those Deliverables (excluding the Core Network); and not be disadvantaged in any procurement process compared to the Supplier.</w:t>
      </w:r>
    </w:p>
    <w:p w:rsidR="00AF3648" w:rsidRDefault="00D65EAE">
      <w:pPr>
        <w:numPr>
          <w:ilvl w:val="0"/>
          <w:numId w:val="2"/>
        </w:numPr>
        <w:pBdr>
          <w:top w:val="nil"/>
          <w:left w:val="nil"/>
          <w:bottom w:val="nil"/>
          <w:right w:val="nil"/>
          <w:between w:val="nil"/>
        </w:pBdr>
        <w:tabs>
          <w:tab w:val="left" w:pos="0"/>
        </w:tabs>
        <w:spacing w:before="240" w:after="240" w:line="240" w:lineRule="auto"/>
        <w:ind w:hanging="644"/>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w:t>
      </w:r>
      <w:r>
        <w:rPr>
          <w:rFonts w:ascii="Arial" w:eastAsia="Arial" w:hAnsi="Arial" w:cs="Arial"/>
          <w:color w:val="000000"/>
          <w:sz w:val="24"/>
          <w:szCs w:val="24"/>
        </w:rPr>
        <w:t>xit Plan which complies with the requirements set out in Paragraph 4.3 of this Schedule and is otherwise reasonably satisfactory to the Buyer.</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w:t>
      </w:r>
      <w:r>
        <w:rPr>
          <w:rFonts w:ascii="Arial" w:eastAsia="Arial" w:hAnsi="Arial" w:cs="Arial"/>
          <w:color w:val="000000"/>
          <w:sz w:val="24"/>
          <w:szCs w:val="24"/>
        </w:rPr>
        <w:t xml:space="preserve">agree the contents of the Exit Plan within twenty (20) Working Days of the latest date for its submission pursuant to Paragraph 4.1, then such Dispute shall be resolved in accordance with the Dispute Resolution Procedure.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w:t>
      </w:r>
      <w:r>
        <w:rPr>
          <w:rFonts w:ascii="Arial" w:eastAsia="Arial" w:hAnsi="Arial" w:cs="Arial"/>
          <w:color w:val="000000"/>
          <w:sz w:val="24"/>
          <w:szCs w:val="24"/>
        </w:rPr>
        <w:t xml:space="preserve"> minimum:</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how the Deliverables (excluding the Core Netwo</w:t>
      </w:r>
      <w:r>
        <w:rPr>
          <w:rFonts w:ascii="Arial" w:eastAsia="Arial" w:hAnsi="Arial" w:cs="Arial"/>
          <w:sz w:val="24"/>
          <w:szCs w:val="24"/>
        </w:rPr>
        <w:t>rk)</w:t>
      </w:r>
      <w:r>
        <w:rPr>
          <w:rFonts w:ascii="Arial" w:eastAsia="Arial" w:hAnsi="Arial" w:cs="Arial"/>
          <w:color w:val="000000"/>
          <w:sz w:val="24"/>
          <w:szCs w:val="24"/>
        </w:rPr>
        <w:t xml:space="preserve"> will transfer to the Replacement Supplier and/or the Buyer;</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lastRenderedPageBreak/>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AF3648" w:rsidRDefault="00D65EAE">
      <w:pPr>
        <w:keepNext/>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AF3648" w:rsidRDefault="00D65EAE">
      <w:pPr>
        <w:numPr>
          <w:ilvl w:val="3"/>
          <w:numId w:val="2"/>
        </w:numPr>
        <w:pBdr>
          <w:top w:val="nil"/>
          <w:left w:val="nil"/>
          <w:bottom w:val="nil"/>
          <w:right w:val="nil"/>
          <w:between w:val="nil"/>
        </w:pBdr>
        <w:tabs>
          <w:tab w:val="left" w:pos="2268"/>
        </w:tabs>
        <w:spacing w:before="120" w:after="120" w:line="240" w:lineRule="auto"/>
        <w:ind w:left="2268" w:hanging="566"/>
        <w:rPr>
          <w:rFonts w:ascii="Arial" w:eastAsia="Arial" w:hAnsi="Arial" w:cs="Arial"/>
          <w:color w:val="000000"/>
          <w:sz w:val="24"/>
          <w:szCs w:val="24"/>
        </w:rPr>
      </w:pPr>
      <w:r>
        <w:rPr>
          <w:rFonts w:ascii="Arial" w:eastAsia="Arial" w:hAnsi="Arial" w:cs="Arial"/>
          <w:color w:val="000000"/>
          <w:sz w:val="24"/>
          <w:szCs w:val="24"/>
        </w:rPr>
        <w:t>every</w:t>
      </w:r>
      <w:r>
        <w:rPr>
          <w:rFonts w:ascii="Arial" w:eastAsia="Arial" w:hAnsi="Arial" w:cs="Arial"/>
          <w:color w:val="000000"/>
          <w:sz w:val="24"/>
          <w:szCs w:val="24"/>
          <w:highlight w:val="white"/>
        </w:rPr>
        <w:t xml:space="preserve"> [</w:t>
      </w:r>
      <w:r>
        <w:rPr>
          <w:rFonts w:ascii="Arial" w:eastAsia="Arial" w:hAnsi="Arial" w:cs="Arial"/>
          <w:b/>
          <w:color w:val="000000"/>
          <w:sz w:val="24"/>
          <w:szCs w:val="24"/>
          <w:highlight w:val="white"/>
        </w:rPr>
        <w:t>six (6)</w:t>
      </w:r>
      <w:r>
        <w:rPr>
          <w:rFonts w:ascii="Arial" w:eastAsia="Arial" w:hAnsi="Arial" w:cs="Arial"/>
          <w:color w:val="000000"/>
          <w:sz w:val="24"/>
          <w:szCs w:val="24"/>
          <w:highlight w:val="white"/>
        </w:rPr>
        <w:t xml:space="preserve"> months] </w:t>
      </w:r>
      <w:r>
        <w:rPr>
          <w:rFonts w:ascii="Arial" w:eastAsia="Arial" w:hAnsi="Arial" w:cs="Arial"/>
          <w:color w:val="000000"/>
          <w:sz w:val="24"/>
          <w:szCs w:val="24"/>
        </w:rPr>
        <w:t>throughout the Contract Period; and</w:t>
      </w:r>
    </w:p>
    <w:p w:rsidR="00AF3648" w:rsidRDefault="00D65EAE">
      <w:pPr>
        <w:numPr>
          <w:ilvl w:val="3"/>
          <w:numId w:val="2"/>
        </w:numPr>
        <w:pBdr>
          <w:top w:val="nil"/>
          <w:left w:val="nil"/>
          <w:bottom w:val="nil"/>
          <w:right w:val="nil"/>
          <w:between w:val="nil"/>
        </w:pBdr>
        <w:tabs>
          <w:tab w:val="left" w:pos="2268"/>
        </w:tabs>
        <w:spacing w:before="120" w:after="120" w:line="240" w:lineRule="auto"/>
        <w:ind w:left="2268" w:hanging="566"/>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no later than </w:t>
      </w:r>
      <w:r>
        <w:rPr>
          <w:rFonts w:ascii="Arial" w:eastAsia="Arial" w:hAnsi="Arial" w:cs="Arial"/>
          <w:color w:val="000000"/>
          <w:sz w:val="24"/>
          <w:szCs w:val="24"/>
          <w:highlight w:val="white"/>
        </w:rPr>
        <w:t>[</w:t>
      </w:r>
      <w:r>
        <w:rPr>
          <w:rFonts w:ascii="Arial" w:eastAsia="Arial" w:hAnsi="Arial" w:cs="Arial"/>
          <w:b/>
          <w:color w:val="000000"/>
          <w:sz w:val="24"/>
          <w:szCs w:val="24"/>
          <w:highlight w:val="white"/>
        </w:rPr>
        <w:t>twenty (20)</w:t>
      </w:r>
      <w:r>
        <w:rPr>
          <w:rFonts w:ascii="Arial" w:eastAsia="Arial" w:hAnsi="Arial" w:cs="Arial"/>
          <w:color w:val="000000"/>
          <w:sz w:val="24"/>
          <w:szCs w:val="24"/>
          <w:highlight w:val="white"/>
        </w:rPr>
        <w:t xml:space="preserve"> Working Days] </w:t>
      </w:r>
      <w:r>
        <w:rPr>
          <w:rFonts w:ascii="Arial" w:eastAsia="Arial" w:hAnsi="Arial" w:cs="Arial"/>
          <w:color w:val="000000"/>
          <w:sz w:val="24"/>
          <w:szCs w:val="24"/>
        </w:rPr>
        <w:t xml:space="preserve">after a request from the Buyer for an up-to-date copy of the Exit Plan; </w:t>
      </w:r>
    </w:p>
    <w:p w:rsidR="00AF3648" w:rsidRDefault="00D65EAE">
      <w:pPr>
        <w:numPr>
          <w:ilvl w:val="3"/>
          <w:numId w:val="2"/>
        </w:numPr>
        <w:pBdr>
          <w:top w:val="nil"/>
          <w:left w:val="nil"/>
          <w:bottom w:val="nil"/>
          <w:right w:val="nil"/>
          <w:between w:val="nil"/>
        </w:pBdr>
        <w:tabs>
          <w:tab w:val="left" w:pos="2268"/>
        </w:tabs>
        <w:spacing w:before="120" w:after="120" w:line="240" w:lineRule="auto"/>
        <w:ind w:left="2268" w:hanging="566"/>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Pr>
          <w:rFonts w:ascii="Arial" w:eastAsia="Arial" w:hAnsi="Arial" w:cs="Arial"/>
          <w:color w:val="000000"/>
          <w:sz w:val="24"/>
          <w:szCs w:val="24"/>
          <w:highlight w:val="white"/>
        </w:rPr>
        <w:t>[</w:t>
      </w:r>
      <w:r>
        <w:rPr>
          <w:rFonts w:ascii="Arial" w:eastAsia="Arial" w:hAnsi="Arial" w:cs="Arial"/>
          <w:b/>
          <w:color w:val="000000"/>
          <w:sz w:val="24"/>
          <w:szCs w:val="24"/>
          <w:highlight w:val="white"/>
        </w:rPr>
        <w:t xml:space="preserve">ten (10) </w:t>
      </w:r>
      <w:r>
        <w:rPr>
          <w:rFonts w:ascii="Arial" w:eastAsia="Arial" w:hAnsi="Arial" w:cs="Arial"/>
          <w:color w:val="000000"/>
          <w:sz w:val="24"/>
          <w:szCs w:val="24"/>
          <w:highlight w:val="white"/>
        </w:rPr>
        <w:t>Working Days]</w:t>
      </w:r>
      <w:r>
        <w:rPr>
          <w:rFonts w:ascii="Arial" w:eastAsia="Arial" w:hAnsi="Arial" w:cs="Arial"/>
          <w:color w:val="000000"/>
          <w:sz w:val="24"/>
          <w:szCs w:val="24"/>
        </w:rPr>
        <w:t xml:space="preserve"> after the date of the Termination Assistance Notice;</w:t>
      </w:r>
    </w:p>
    <w:p w:rsidR="00AF3648" w:rsidRDefault="00D65EAE">
      <w:pPr>
        <w:numPr>
          <w:ilvl w:val="3"/>
          <w:numId w:val="2"/>
        </w:numPr>
        <w:pBdr>
          <w:top w:val="nil"/>
          <w:left w:val="nil"/>
          <w:bottom w:val="nil"/>
          <w:right w:val="nil"/>
          <w:between w:val="nil"/>
        </w:pBdr>
        <w:tabs>
          <w:tab w:val="left" w:pos="2268"/>
        </w:tabs>
        <w:spacing w:before="120" w:after="120" w:line="240" w:lineRule="auto"/>
        <w:ind w:left="2268" w:hanging="566"/>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 xml:space="preserve">s soon as reasonably possible following, and in any event no later than </w:t>
      </w:r>
      <w:r>
        <w:rPr>
          <w:rFonts w:ascii="Arial" w:eastAsia="Arial" w:hAnsi="Arial" w:cs="Arial"/>
          <w:color w:val="000000"/>
          <w:sz w:val="24"/>
          <w:szCs w:val="24"/>
          <w:highlight w:val="white"/>
        </w:rPr>
        <w:t>[</w:t>
      </w:r>
      <w:r>
        <w:rPr>
          <w:rFonts w:ascii="Arial" w:eastAsia="Arial" w:hAnsi="Arial" w:cs="Arial"/>
          <w:b/>
          <w:color w:val="000000"/>
          <w:sz w:val="24"/>
          <w:szCs w:val="24"/>
          <w:highlight w:val="white"/>
        </w:rPr>
        <w:t>twenty (20)</w:t>
      </w:r>
      <w:r>
        <w:rPr>
          <w:rFonts w:ascii="Arial" w:eastAsia="Arial" w:hAnsi="Arial" w:cs="Arial"/>
          <w:color w:val="000000"/>
          <w:sz w:val="24"/>
          <w:szCs w:val="24"/>
          <w:highlight w:val="white"/>
        </w:rPr>
        <w:t xml:space="preserve"> Working Days] </w:t>
      </w:r>
      <w:r>
        <w:rPr>
          <w:rFonts w:ascii="Arial" w:eastAsia="Arial" w:hAnsi="Arial" w:cs="Arial"/>
          <w:color w:val="000000"/>
          <w:sz w:val="24"/>
          <w:szCs w:val="24"/>
        </w:rPr>
        <w:t xml:space="preserve">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jointly review and verify the Exit Plan if re</w:t>
      </w:r>
      <w:r>
        <w:rPr>
          <w:rFonts w:ascii="Arial" w:eastAsia="Arial" w:hAnsi="Arial" w:cs="Arial"/>
          <w:color w:val="000000"/>
          <w:sz w:val="24"/>
          <w:szCs w:val="24"/>
        </w:rPr>
        <w:t>quired by the Buyer and promptly correct any identified failures.</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Only if (by notification to the Supplier in writing) the Buyer agrees with a draft Exit Plan provided by the Supplier under Paragraph 4.2 or 4.4 (as the context requires), shall that draft b</w:t>
      </w:r>
      <w:r>
        <w:rPr>
          <w:rFonts w:ascii="Arial" w:eastAsia="Arial" w:hAnsi="Arial" w:cs="Arial"/>
          <w:color w:val="000000"/>
          <w:sz w:val="24"/>
          <w:szCs w:val="24"/>
        </w:rPr>
        <w:t xml:space="preserve">ecome the Exit Plan for this Contract.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AF3648" w:rsidRDefault="00D65EAE">
      <w:pPr>
        <w:numPr>
          <w:ilvl w:val="0"/>
          <w:numId w:val="2"/>
        </w:numPr>
        <w:pBdr>
          <w:top w:val="nil"/>
          <w:left w:val="nil"/>
          <w:bottom w:val="nil"/>
          <w:right w:val="nil"/>
          <w:between w:val="nil"/>
        </w:pBdr>
        <w:tabs>
          <w:tab w:val="left" w:pos="0"/>
        </w:tabs>
        <w:spacing w:before="240" w:after="240" w:line="240" w:lineRule="auto"/>
        <w:ind w:hanging="644"/>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as reasonably practicable (but in any </w:t>
      </w:r>
      <w:r>
        <w:rPr>
          <w:rFonts w:ascii="Arial" w:eastAsia="Arial" w:hAnsi="Arial" w:cs="Arial"/>
          <w:color w:val="000000"/>
          <w:sz w:val="24"/>
          <w:szCs w:val="24"/>
        </w:rPr>
        <w:lastRenderedPageBreak/>
        <w:t>event, not later than one (1) Month) following the service by either Party of a Termination Notice. The Termination Assistance Notice shall specify:</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the n</w:t>
      </w:r>
      <w:r>
        <w:rPr>
          <w:rFonts w:ascii="Arial" w:eastAsia="Arial" w:hAnsi="Arial" w:cs="Arial"/>
          <w:color w:val="000000"/>
          <w:sz w:val="24"/>
          <w:szCs w:val="24"/>
        </w:rPr>
        <w:t>ature of the Termination Assistance required; and</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 xml:space="preserve">the start date and initial period during which it is anticipated that Termination Assistance will be required, which shall continue no longer than twelve (12) Months after the End Date; and </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whether the Buy</w:t>
      </w:r>
      <w:r>
        <w:rPr>
          <w:rFonts w:ascii="Arial" w:eastAsia="Arial" w:hAnsi="Arial" w:cs="Arial"/>
          <w:color w:val="000000"/>
          <w:sz w:val="24"/>
          <w:szCs w:val="24"/>
        </w:rPr>
        <w:t xml:space="preserve">er requires any additional services to assist with exit beyond what is required by this Schedule, which may be chargeable by the Supplier.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no such extension shall extend the Termination Assist</w:t>
      </w:r>
      <w:r>
        <w:rPr>
          <w:rFonts w:ascii="Arial" w:eastAsia="Arial" w:hAnsi="Arial" w:cs="Arial"/>
          <w:color w:val="000000"/>
          <w:sz w:val="24"/>
          <w:szCs w:val="24"/>
        </w:rPr>
        <w:t xml:space="preserve">ance Period beyond the date twelve (12) Months after the End Date; and </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the Buyer shall notify the Supplier of any such extension no later than twenty (20) Working Days prior to the date on which the Termination Assistance Period is otherwise due to expire</w:t>
      </w:r>
      <w:r>
        <w:rPr>
          <w:rFonts w:ascii="Arial" w:eastAsia="Arial" w:hAnsi="Arial" w:cs="Arial"/>
          <w:color w:val="000000"/>
          <w:sz w:val="24"/>
          <w:szCs w:val="24"/>
        </w:rPr>
        <w:t xml:space="preserve">.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Where the Buyer indicates in a Termination Assistance Notice that it requires any additi</w:t>
      </w:r>
      <w:r>
        <w:rPr>
          <w:rFonts w:ascii="Arial" w:eastAsia="Arial" w:hAnsi="Arial" w:cs="Arial"/>
          <w:color w:val="000000"/>
          <w:sz w:val="24"/>
          <w:szCs w:val="24"/>
        </w:rPr>
        <w:t>onal services to assist with exit in accordance with paragraph 5.1.3, the Supplier shall provide to the Buyer within ten (10) Working Days of receipt of such Termination Assistance Notice a quotation in the form of an itemised list of costs (in line with a</w:t>
      </w:r>
      <w:r>
        <w:rPr>
          <w:rFonts w:ascii="Arial" w:eastAsia="Arial" w:hAnsi="Arial" w:cs="Arial"/>
          <w:color w:val="000000"/>
          <w:sz w:val="24"/>
          <w:szCs w:val="24"/>
        </w:rPr>
        <w:t>ny day rates specified in the Contract) for each line of the additional services that the Buyer requires. Within five (5) Working Days of receipt of such quotation the Buyer shall confirm to the Supplier which of those itemised services it requires and the</w:t>
      </w:r>
      <w:r>
        <w:rPr>
          <w:rFonts w:ascii="Arial" w:eastAsia="Arial" w:hAnsi="Arial" w:cs="Arial"/>
          <w:color w:val="000000"/>
          <w:sz w:val="24"/>
          <w:szCs w:val="24"/>
        </w:rPr>
        <w:t xml:space="preserve"> Supplier shall provide those services as part of the Termination Assistance at the Charges provided in the quotation.</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w:t>
      </w:r>
      <w:r>
        <w:rPr>
          <w:rFonts w:ascii="Arial" w:eastAsia="Arial" w:hAnsi="Arial" w:cs="Arial"/>
          <w:color w:val="000000"/>
          <w:sz w:val="24"/>
          <w:szCs w:val="24"/>
        </w:rPr>
        <w:t>e Exit Plan pursuant to Paragraph 4, the Supplier will provide the Termination Assistance in good faith and in accordance with the principles in this Schedule and the last Buyer approved version of the Exit Plan (insofar as it still applies).</w:t>
      </w:r>
    </w:p>
    <w:p w:rsidR="00AF3648" w:rsidRDefault="00D65EAE">
      <w:pPr>
        <w:numPr>
          <w:ilvl w:val="0"/>
          <w:numId w:val="2"/>
        </w:numPr>
        <w:pBdr>
          <w:top w:val="nil"/>
          <w:left w:val="nil"/>
          <w:bottom w:val="nil"/>
          <w:right w:val="nil"/>
          <w:between w:val="nil"/>
        </w:pBdr>
        <w:tabs>
          <w:tab w:val="left" w:pos="0"/>
        </w:tabs>
        <w:spacing w:before="240" w:after="240" w:line="240" w:lineRule="auto"/>
        <w:ind w:hanging="644"/>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Period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w:t>
      </w:r>
      <w:r>
        <w:rPr>
          <w:rFonts w:ascii="Arial" w:eastAsia="Arial" w:hAnsi="Arial" w:cs="Arial"/>
          <w:color w:val="000000"/>
          <w:sz w:val="24"/>
          <w:szCs w:val="24"/>
        </w:rPr>
        <w:t>ation Assistance;</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lastRenderedPageBreak/>
        <w:t>provide to the Buyer and/or its Replacement Supplier any reasonable assistance and/or access requested by the Buyer and/or its Replacement Supplier including assistance and/or access to facilitate the orderly transfer of responsibility fo</w:t>
      </w:r>
      <w:r>
        <w:rPr>
          <w:rFonts w:ascii="Arial" w:eastAsia="Arial" w:hAnsi="Arial" w:cs="Arial"/>
          <w:color w:val="000000"/>
          <w:sz w:val="24"/>
          <w:szCs w:val="24"/>
        </w:rPr>
        <w:t>r and conduct of the Deliverables to the Buyer and/or its Replacement Supplier;</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w:t>
      </w:r>
      <w:r>
        <w:rPr>
          <w:rFonts w:ascii="Arial" w:eastAsia="Arial" w:hAnsi="Arial" w:cs="Arial"/>
          <w:color w:val="000000"/>
          <w:sz w:val="24"/>
          <w:szCs w:val="24"/>
        </w:rPr>
        <w:t xml:space="preserve">he Termination Assistance at no detriment to the Performance Indicators (PI’s) or Service Levels, the provision of the Management Information or any other reports nor to any other of the Supplier's obligations under this Contract; </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 xml:space="preserve">If it is not possible </w:t>
      </w:r>
      <w:r>
        <w:rPr>
          <w:rFonts w:ascii="Arial" w:eastAsia="Arial" w:hAnsi="Arial" w:cs="Arial"/>
          <w:color w:val="000000"/>
          <w:sz w:val="24"/>
          <w:szCs w:val="24"/>
        </w:rPr>
        <w:t>for the Supplier to reallocate resources to provide such assistance as is referred to in Paragraph 6.1.2 without additional costs to the Buyer, any additional costs incurred by the Supplier in providing such reasonable assistance shall be subject to the Va</w:t>
      </w:r>
      <w:r>
        <w:rPr>
          <w:rFonts w:ascii="Arial" w:eastAsia="Arial" w:hAnsi="Arial" w:cs="Arial"/>
          <w:color w:val="000000"/>
          <w:sz w:val="24"/>
          <w:szCs w:val="24"/>
        </w:rPr>
        <w:t>riation Procedure.</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w:t>
      </w:r>
      <w:r>
        <w:rPr>
          <w:rFonts w:ascii="Arial" w:eastAsia="Arial" w:hAnsi="Arial" w:cs="Arial"/>
          <w:color w:val="000000"/>
          <w:sz w:val="24"/>
          <w:szCs w:val="24"/>
        </w:rPr>
        <w:t>, the Parties shall vary the relevant Service Levels and/or the applicable Service Credits accordingly.</w:t>
      </w:r>
    </w:p>
    <w:p w:rsidR="00AF3648" w:rsidRDefault="00D65EAE">
      <w:pPr>
        <w:numPr>
          <w:ilvl w:val="0"/>
          <w:numId w:val="2"/>
        </w:numPr>
        <w:pBdr>
          <w:top w:val="nil"/>
          <w:left w:val="nil"/>
          <w:bottom w:val="nil"/>
          <w:right w:val="nil"/>
          <w:between w:val="nil"/>
        </w:pBdr>
        <w:tabs>
          <w:tab w:val="left" w:pos="0"/>
        </w:tabs>
        <w:spacing w:before="240" w:after="240" w:line="240" w:lineRule="auto"/>
        <w:ind w:hanging="644"/>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Obligations when the contract is terminated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vacate any Buyer Premises;</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remov</w:t>
      </w:r>
      <w:r>
        <w:rPr>
          <w:rFonts w:ascii="Arial" w:eastAsia="Arial" w:hAnsi="Arial" w:cs="Arial"/>
          <w:color w:val="000000"/>
          <w:sz w:val="24"/>
          <w:szCs w:val="24"/>
        </w:rPr>
        <w:t>e the Supplier Equipment together with any other materials used by the Supplier to supply the Deliverables and shall leave the Sites in a clean, safe and tidy condition. The Supplier is solely responsible for making good any damage to the Sites or any obje</w:t>
      </w:r>
      <w:r>
        <w:rPr>
          <w:rFonts w:ascii="Arial" w:eastAsia="Arial" w:hAnsi="Arial" w:cs="Arial"/>
          <w:color w:val="000000"/>
          <w:sz w:val="24"/>
          <w:szCs w:val="24"/>
        </w:rPr>
        <w:t xml:space="preserve">cts contained thereon, other than fair wear and tear, which is caused by the Supplier; </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AF3648" w:rsidRDefault="00D65EAE">
      <w:pPr>
        <w:numPr>
          <w:ilvl w:val="3"/>
          <w:numId w:val="2"/>
        </w:numPr>
        <w:pBdr>
          <w:top w:val="nil"/>
          <w:left w:val="nil"/>
          <w:bottom w:val="nil"/>
          <w:right w:val="nil"/>
          <w:between w:val="nil"/>
        </w:pBdr>
        <w:tabs>
          <w:tab w:val="left" w:pos="2268"/>
        </w:tabs>
        <w:spacing w:before="120" w:after="120" w:line="240" w:lineRule="auto"/>
        <w:ind w:left="2268" w:hanging="566"/>
        <w:rPr>
          <w:rFonts w:ascii="Arial" w:eastAsia="Arial" w:hAnsi="Arial" w:cs="Arial"/>
          <w:color w:val="000000"/>
          <w:sz w:val="24"/>
          <w:szCs w:val="24"/>
        </w:rPr>
      </w:pPr>
      <w:r>
        <w:rPr>
          <w:rFonts w:ascii="Arial" w:eastAsia="Arial" w:hAnsi="Arial" w:cs="Arial"/>
          <w:color w:val="000000"/>
          <w:sz w:val="24"/>
          <w:szCs w:val="24"/>
        </w:rPr>
        <w:lastRenderedPageBreak/>
        <w:t>such information re</w:t>
      </w:r>
      <w:r>
        <w:rPr>
          <w:rFonts w:ascii="Arial" w:eastAsia="Arial" w:hAnsi="Arial" w:cs="Arial"/>
          <w:color w:val="000000"/>
          <w:sz w:val="24"/>
          <w:szCs w:val="24"/>
        </w:rPr>
        <w:t>lating to the Deliverables as remains in the possession or control of the Supplier; and</w:t>
      </w:r>
    </w:p>
    <w:p w:rsidR="00AF3648" w:rsidRDefault="00D65EAE">
      <w:pPr>
        <w:numPr>
          <w:ilvl w:val="3"/>
          <w:numId w:val="2"/>
        </w:numPr>
        <w:pBdr>
          <w:top w:val="nil"/>
          <w:left w:val="nil"/>
          <w:bottom w:val="nil"/>
          <w:right w:val="nil"/>
          <w:between w:val="nil"/>
        </w:pBdr>
        <w:tabs>
          <w:tab w:val="left" w:pos="2268"/>
        </w:tabs>
        <w:spacing w:before="120" w:after="120" w:line="240" w:lineRule="auto"/>
        <w:ind w:left="2268" w:hanging="566"/>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w:t>
      </w:r>
      <w:r>
        <w:rPr>
          <w:rFonts w:ascii="Arial" w:eastAsia="Arial" w:hAnsi="Arial" w:cs="Arial"/>
          <w:color w:val="000000"/>
          <w:sz w:val="24"/>
          <w:szCs w:val="24"/>
        </w:rPr>
        <w:t>ed that the Buyer and/or the Replacement Supplier shall pay the reasonable costs of the Supplier actually incurred in responding to such requests for access.</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AF3648" w:rsidRDefault="00D65EAE">
      <w:pPr>
        <w:numPr>
          <w:ilvl w:val="0"/>
          <w:numId w:val="2"/>
        </w:numPr>
        <w:pBdr>
          <w:top w:val="nil"/>
          <w:left w:val="nil"/>
          <w:bottom w:val="nil"/>
          <w:right w:val="nil"/>
          <w:between w:val="nil"/>
        </w:pBdr>
        <w:tabs>
          <w:tab w:val="left" w:pos="0"/>
        </w:tabs>
        <w:spacing w:before="240" w:after="240" w:line="240" w:lineRule="auto"/>
        <w:ind w:hanging="644"/>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terminate, enter into or vary any Sub-contract insofar as it relates to Exclusive Assets and Non-Exclusive Assets; or</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excluding the Core Network;</w:t>
      </w:r>
      <w:r>
        <w:rPr>
          <w:rFonts w:ascii="Arial" w:eastAsia="Arial" w:hAnsi="Arial" w:cs="Arial"/>
          <w:color w:val="000000"/>
          <w:sz w:val="24"/>
          <w:szCs w:val="24"/>
        </w:rPr>
        <w:t xml:space="preserve"> or</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w:t>
      </w:r>
      <w:r>
        <w:rPr>
          <w:rFonts w:ascii="Arial" w:eastAsia="Arial" w:hAnsi="Arial" w:cs="Arial"/>
          <w:color w:val="000000"/>
          <w:sz w:val="24"/>
          <w:szCs w:val="24"/>
        </w:rPr>
        <w:t>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AF3648" w:rsidRDefault="00D65EAE">
      <w:pPr>
        <w:numPr>
          <w:ilvl w:val="3"/>
          <w:numId w:val="2"/>
        </w:numPr>
        <w:pBdr>
          <w:top w:val="nil"/>
          <w:left w:val="nil"/>
          <w:bottom w:val="nil"/>
          <w:right w:val="nil"/>
          <w:between w:val="nil"/>
        </w:pBdr>
        <w:tabs>
          <w:tab w:val="left" w:pos="2268"/>
        </w:tabs>
        <w:spacing w:before="120" w:after="120" w:line="240" w:lineRule="auto"/>
        <w:ind w:left="2268" w:hanging="566"/>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AF3648" w:rsidRDefault="00D65EAE">
      <w:pPr>
        <w:numPr>
          <w:ilvl w:val="3"/>
          <w:numId w:val="2"/>
        </w:numPr>
        <w:pBdr>
          <w:top w:val="nil"/>
          <w:left w:val="nil"/>
          <w:bottom w:val="nil"/>
          <w:right w:val="nil"/>
          <w:between w:val="nil"/>
        </w:pBdr>
        <w:tabs>
          <w:tab w:val="left" w:pos="2268"/>
        </w:tabs>
        <w:spacing w:before="120" w:after="120" w:line="240" w:lineRule="auto"/>
        <w:ind w:left="2268" w:hanging="566"/>
        <w:rPr>
          <w:rFonts w:ascii="Arial" w:eastAsia="Arial" w:hAnsi="Arial" w:cs="Arial"/>
          <w:color w:val="000000"/>
          <w:sz w:val="24"/>
          <w:szCs w:val="24"/>
        </w:rPr>
      </w:pPr>
      <w:r>
        <w:rPr>
          <w:rFonts w:ascii="Arial" w:eastAsia="Arial" w:hAnsi="Arial" w:cs="Arial"/>
          <w:color w:val="000000"/>
          <w:sz w:val="24"/>
          <w:szCs w:val="24"/>
        </w:rPr>
        <w:t>the Non-Exclusive Assets,</w:t>
      </w:r>
    </w:p>
    <w:p w:rsidR="00AF3648" w:rsidRDefault="00D65EAE">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AF3648" w:rsidRDefault="00D65EAE">
      <w:pPr>
        <w:pBdr>
          <w:top w:val="nil"/>
          <w:left w:val="nil"/>
          <w:bottom w:val="nil"/>
          <w:right w:val="nil"/>
          <w:between w:val="nil"/>
        </w:pBdr>
        <w:tabs>
          <w:tab w:val="left" w:pos="1985"/>
          <w:tab w:val="left" w:pos="2127"/>
        </w:tabs>
        <w:spacing w:before="120" w:after="120" w:line="240" w:lineRule="auto"/>
        <w:ind w:left="928"/>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excluding </w:t>
      </w:r>
      <w:r>
        <w:rPr>
          <w:rFonts w:ascii="Arial" w:eastAsia="Arial" w:hAnsi="Arial" w:cs="Arial"/>
          <w:color w:val="000000"/>
          <w:sz w:val="24"/>
          <w:szCs w:val="24"/>
        </w:rPr>
        <w:t xml:space="preserve">the Core Network from the expiry of the Termination Assistance Period. The Supplier shall provide all reasonable assistance required by the Buyer and/or its Replacement Supplier to enable it to </w:t>
      </w:r>
      <w:r>
        <w:rPr>
          <w:rFonts w:ascii="Arial" w:eastAsia="Arial" w:hAnsi="Arial" w:cs="Arial"/>
          <w:color w:val="000000"/>
          <w:sz w:val="24"/>
          <w:szCs w:val="24"/>
        </w:rPr>
        <w:lastRenderedPageBreak/>
        <w:t>determine which Transferable Assets and Transferable Contracts</w:t>
      </w:r>
      <w:r>
        <w:rPr>
          <w:rFonts w:ascii="Arial" w:eastAsia="Arial" w:hAnsi="Arial" w:cs="Arial"/>
          <w:color w:val="000000"/>
          <w:sz w:val="24"/>
          <w:szCs w:val="24"/>
        </w:rPr>
        <w:t xml:space="preserve"> are required to provide the Deliverables (exc</w:t>
      </w:r>
      <w:r>
        <w:rPr>
          <w:rFonts w:ascii="Arial" w:eastAsia="Arial" w:hAnsi="Arial" w:cs="Arial"/>
          <w:sz w:val="24"/>
          <w:szCs w:val="24"/>
        </w:rPr>
        <w:t>luding the Core Network)</w:t>
      </w:r>
      <w:r>
        <w:rPr>
          <w:rFonts w:ascii="Arial" w:eastAsia="Arial" w:hAnsi="Arial" w:cs="Arial"/>
          <w:color w:val="000000"/>
          <w:sz w:val="24"/>
          <w:szCs w:val="24"/>
        </w:rPr>
        <w:t xml:space="preserve"> or the Replacement Goods and/or Replacement Services (excluding the Core Network</w:t>
      </w:r>
      <w:r>
        <w:rPr>
          <w:rFonts w:ascii="Arial" w:eastAsia="Arial" w:hAnsi="Arial" w:cs="Arial"/>
          <w:sz w:val="24"/>
          <w:szCs w:val="24"/>
        </w:rPr>
        <w:t>)</w:t>
      </w:r>
      <w:r>
        <w:rPr>
          <w:rFonts w:ascii="Arial" w:eastAsia="Arial" w:hAnsi="Arial" w:cs="Arial"/>
          <w:color w:val="000000"/>
          <w:sz w:val="24"/>
          <w:szCs w:val="24"/>
        </w:rPr>
        <w:t>.</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 xml:space="preserve">Risk in the </w:t>
      </w:r>
      <w:r>
        <w:rPr>
          <w:rFonts w:ascii="Arial" w:eastAsia="Arial" w:hAnsi="Arial" w:cs="Arial"/>
          <w:color w:val="000000"/>
          <w:sz w:val="24"/>
          <w:szCs w:val="24"/>
        </w:rPr>
        <w:t>Transferring Assets shall pass to the Buyer or the Replacement Supplier (as appropriate) at the end of the Termination Assistance Period and title shall pass on payment for them.</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w:t>
      </w:r>
      <w:r>
        <w:rPr>
          <w:rFonts w:ascii="Arial" w:eastAsia="Arial" w:hAnsi="Arial" w:cs="Arial"/>
          <w:color w:val="000000"/>
          <w:sz w:val="24"/>
          <w:szCs w:val="24"/>
        </w:rPr>
        <w:t xml:space="preserve"> Exclusive Assets that are not Transferable Assets or any Non-Exclusive Assets, the Supplier shall as soon as reasonably practicable:</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 xml:space="preserve">procure a non-exclusive, perpetual, royalty-free licence for the Buyer and/or the Replacement Supplier to use such assets </w:t>
      </w:r>
      <w:r>
        <w:rPr>
          <w:rFonts w:ascii="Arial" w:eastAsia="Arial" w:hAnsi="Arial" w:cs="Arial"/>
          <w:color w:val="000000"/>
          <w:sz w:val="24"/>
          <w:szCs w:val="24"/>
        </w:rPr>
        <w:t>(with a right of sub-licence or assignment on the same terms); or failing which</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w:t>
      </w:r>
      <w:r>
        <w:rPr>
          <w:rFonts w:ascii="Arial" w:eastAsia="Arial" w:hAnsi="Arial" w:cs="Arial"/>
          <w:color w:val="000000"/>
          <w:sz w:val="24"/>
          <w:szCs w:val="24"/>
        </w:rPr>
        <w:t xml:space="preserv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w:t>
      </w:r>
      <w:r>
        <w:rPr>
          <w:rFonts w:ascii="Arial" w:eastAsia="Arial" w:hAnsi="Arial" w:cs="Arial"/>
          <w:color w:val="000000"/>
          <w:sz w:val="24"/>
          <w:szCs w:val="24"/>
        </w:rPr>
        <w:t>ation or assignment.</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w:t>
      </w:r>
      <w:r>
        <w:rPr>
          <w:rFonts w:ascii="Arial" w:eastAsia="Arial" w:hAnsi="Arial" w:cs="Arial"/>
          <w:color w:val="000000"/>
          <w:sz w:val="24"/>
          <w:szCs w:val="24"/>
        </w:rPr>
        <w:t>, discharge all the obligations and liabilities created by or arising under that Transferring Contract and exercise its rights arising under that Transferring Contract, or as applicable, procure that the Replacement Supplier does the same.</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The Supplier sha</w:t>
      </w:r>
      <w:r>
        <w:rPr>
          <w:rFonts w:ascii="Arial" w:eastAsia="Arial" w:hAnsi="Arial" w:cs="Arial"/>
          <w:color w:val="000000"/>
          <w:sz w:val="24"/>
          <w:szCs w:val="24"/>
        </w:rPr>
        <w:t>ll hold any Transferring Contracts on trust for the Buyer until the transfer of the relevant Transferring Contract to the Buyer and/or the Replacement Supplier has taken place.</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w:t>
      </w:r>
      <w:r>
        <w:rPr>
          <w:rFonts w:ascii="Arial" w:eastAsia="Arial" w:hAnsi="Arial" w:cs="Arial"/>
          <w:color w:val="000000"/>
          <w:sz w:val="24"/>
          <w:szCs w:val="24"/>
        </w:rPr>
        <w:t xml:space="preserve">licable) against each loss, liability and cost arising out of any claims made by a counterparty to a Transferring Contract which is assigned or novated to the Buyer (and/or Replacement Supplier) pursuant to Paragraph 8.6 in relation to any matters arising </w:t>
      </w:r>
      <w:r>
        <w:rPr>
          <w:rFonts w:ascii="Arial" w:eastAsia="Arial" w:hAnsi="Arial" w:cs="Arial"/>
          <w:color w:val="000000"/>
          <w:sz w:val="24"/>
          <w:szCs w:val="24"/>
        </w:rPr>
        <w:t xml:space="preserve">prior to the date of assignment or novation of such Transferring Contract. Clause 19 (Other people's rights in this contract) shall not apply to this Paragraph 8.9 which is </w:t>
      </w:r>
      <w:r>
        <w:rPr>
          <w:rFonts w:ascii="Arial" w:eastAsia="Arial" w:hAnsi="Arial" w:cs="Arial"/>
          <w:color w:val="000000"/>
          <w:sz w:val="24"/>
          <w:szCs w:val="24"/>
        </w:rPr>
        <w:lastRenderedPageBreak/>
        <w:t>intended to be enforceable by Third Parties Beneficiaries by virtue of the CRTPA.</w:t>
      </w:r>
    </w:p>
    <w:p w:rsidR="00AF3648" w:rsidRDefault="00D65EAE">
      <w:pPr>
        <w:numPr>
          <w:ilvl w:val="0"/>
          <w:numId w:val="2"/>
        </w:numPr>
        <w:pBdr>
          <w:top w:val="nil"/>
          <w:left w:val="nil"/>
          <w:bottom w:val="nil"/>
          <w:right w:val="nil"/>
          <w:between w:val="nil"/>
        </w:pBdr>
        <w:tabs>
          <w:tab w:val="left" w:pos="0"/>
        </w:tabs>
        <w:spacing w:before="240" w:after="240" w:line="240" w:lineRule="auto"/>
        <w:ind w:hanging="644"/>
        <w:rPr>
          <w:rFonts w:ascii="Arial Bold" w:eastAsia="Arial Bold" w:hAnsi="Arial Bold" w:cs="Arial Bold"/>
          <w:b/>
          <w:color w:val="000000"/>
          <w:sz w:val="24"/>
          <w:szCs w:val="24"/>
        </w:rPr>
      </w:pPr>
      <w:bookmarkStart w:id="38" w:name="_heading=h.41mghml" w:colFirst="0" w:colLast="0"/>
      <w:bookmarkEnd w:id="38"/>
      <w:r>
        <w:rPr>
          <w:rFonts w:ascii="Arial Bold" w:eastAsia="Arial Bold" w:hAnsi="Arial Bold" w:cs="Arial Bold"/>
          <w:b/>
          <w:color w:val="000000"/>
          <w:sz w:val="24"/>
          <w:szCs w:val="24"/>
        </w:rPr>
        <w:t xml:space="preserve">No charges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AF3648" w:rsidRDefault="00D65EAE">
      <w:pPr>
        <w:numPr>
          <w:ilvl w:val="0"/>
          <w:numId w:val="2"/>
        </w:numPr>
        <w:pBdr>
          <w:top w:val="nil"/>
          <w:left w:val="nil"/>
          <w:bottom w:val="nil"/>
          <w:right w:val="nil"/>
          <w:between w:val="nil"/>
        </w:pBdr>
        <w:tabs>
          <w:tab w:val="left" w:pos="0"/>
        </w:tabs>
        <w:spacing w:before="240" w:after="240" w:line="240" w:lineRule="auto"/>
        <w:ind w:hanging="644"/>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Dividing the bills </w:t>
      </w:r>
    </w:p>
    <w:p w:rsidR="00AF3648" w:rsidRDefault="00D65EAE">
      <w:pPr>
        <w:numPr>
          <w:ilvl w:val="1"/>
          <w:numId w:val="2"/>
        </w:numPr>
        <w:pBdr>
          <w:top w:val="nil"/>
          <w:left w:val="nil"/>
          <w:bottom w:val="nil"/>
          <w:right w:val="nil"/>
          <w:between w:val="nil"/>
        </w:pBdr>
        <w:spacing w:before="120" w:after="120" w:line="240" w:lineRule="auto"/>
        <w:ind w:left="851" w:hanging="851"/>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the amounts shall</w:t>
      </w:r>
      <w:r>
        <w:rPr>
          <w:rFonts w:ascii="Arial" w:eastAsia="Arial" w:hAnsi="Arial" w:cs="Arial"/>
          <w:color w:val="000000"/>
          <w:sz w:val="24"/>
          <w:szCs w:val="24"/>
        </w:rPr>
        <w:t xml:space="preserve"> be annualised and divided by 365 to reach a daily rate;</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 xml:space="preserve">the Buyer or Replacement Supplier (as applicable) shall be responsible for or entitled to (as the case may be) that part of the value of the invoice pro rata to the number of complete days following </w:t>
      </w:r>
      <w:r>
        <w:rPr>
          <w:rFonts w:ascii="Arial" w:eastAsia="Arial" w:hAnsi="Arial" w:cs="Arial"/>
          <w:color w:val="000000"/>
          <w:sz w:val="24"/>
          <w:szCs w:val="24"/>
        </w:rPr>
        <w:t>the transfer, multiplied by the daily rate; and</w:t>
      </w:r>
    </w:p>
    <w:p w:rsidR="00AF3648" w:rsidRDefault="00D65EAE">
      <w:pPr>
        <w:numPr>
          <w:ilvl w:val="2"/>
          <w:numId w:val="2"/>
        </w:num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sz w:val="24"/>
          <w:szCs w:val="24"/>
        </w:rPr>
      </w:pPr>
      <w:r>
        <w:rPr>
          <w:rFonts w:ascii="Arial" w:eastAsia="Arial" w:hAnsi="Arial" w:cs="Arial"/>
          <w:color w:val="000000"/>
          <w:sz w:val="24"/>
          <w:szCs w:val="24"/>
        </w:rPr>
        <w:t>the Supplier shall be responsible for or entitled to (as the case may be) the rest of the invoice.</w:t>
      </w:r>
    </w:p>
    <w:sectPr w:rsidR="00AF3648">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5EAE" w:rsidRDefault="00D65EAE">
      <w:pPr>
        <w:spacing w:after="0" w:line="240" w:lineRule="auto"/>
      </w:pPr>
      <w:r>
        <w:separator/>
      </w:r>
    </w:p>
  </w:endnote>
  <w:endnote w:type="continuationSeparator" w:id="0">
    <w:p w:rsidR="00D65EAE" w:rsidRDefault="00D65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648" w:rsidRDefault="00AF36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AF3648" w:rsidRDefault="00D65E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RM6261</w:t>
    </w:r>
  </w:p>
  <w:p w:rsidR="00AF3648" w:rsidRDefault="00D65E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A3619">
      <w:rPr>
        <w:rFonts w:ascii="Arial" w:eastAsia="Arial" w:hAnsi="Arial" w:cs="Arial"/>
        <w:color w:val="000000"/>
        <w:sz w:val="20"/>
        <w:szCs w:val="20"/>
      </w:rPr>
      <w:fldChar w:fldCharType="separate"/>
    </w:r>
    <w:r w:rsidR="005A361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F3648" w:rsidRDefault="00D65E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648" w:rsidRDefault="00AF3648">
    <w:pPr>
      <w:tabs>
        <w:tab w:val="center" w:pos="4513"/>
        <w:tab w:val="right" w:pos="9026"/>
      </w:tabs>
      <w:spacing w:after="0"/>
      <w:rPr>
        <w:rFonts w:ascii="Arial" w:eastAsia="Arial" w:hAnsi="Arial" w:cs="Arial"/>
        <w:color w:val="A6A6A6"/>
        <w:sz w:val="20"/>
        <w:szCs w:val="20"/>
      </w:rPr>
    </w:pPr>
  </w:p>
  <w:p w:rsidR="00AF3648" w:rsidRDefault="00D65EA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AF3648" w:rsidRDefault="00D65EA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AF3648" w:rsidRDefault="00D65EA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5EAE" w:rsidRDefault="00D65EAE">
      <w:pPr>
        <w:spacing w:after="0" w:line="240" w:lineRule="auto"/>
      </w:pPr>
      <w:r>
        <w:separator/>
      </w:r>
    </w:p>
  </w:footnote>
  <w:footnote w:type="continuationSeparator" w:id="0">
    <w:p w:rsidR="00D65EAE" w:rsidRDefault="00D65E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648" w:rsidRDefault="00D65E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AF3648" w:rsidRDefault="00D65E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AF3648" w:rsidRDefault="00D65E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22</w:t>
    </w:r>
  </w:p>
  <w:p w:rsidR="00AF3648" w:rsidRDefault="00AF3648">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358D7"/>
    <w:multiLevelType w:val="multilevel"/>
    <w:tmpl w:val="1408B8AC"/>
    <w:lvl w:ilvl="0">
      <w:start w:val="1"/>
      <w:numFmt w:val="decimal"/>
      <w:pStyle w:val="GPsDefinition"/>
      <w:lvlText w:val="%1."/>
      <w:lvlJc w:val="left"/>
      <w:pPr>
        <w:ind w:left="644" w:hanging="358"/>
      </w:pPr>
      <w:rPr>
        <w:smallCaps w:val="0"/>
        <w:strike w:val="0"/>
        <w:color w:val="000000"/>
        <w:u w:val="none"/>
        <w:vertAlign w:val="baseline"/>
      </w:rPr>
    </w:lvl>
    <w:lvl w:ilvl="1">
      <w:start w:val="1"/>
      <w:numFmt w:val="decimal"/>
      <w:pStyle w:val="GPSDefinitionL2"/>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720" w:hanging="720"/>
      </w:pPr>
      <w:rPr>
        <w:b w:val="0"/>
        <w:i w:val="0"/>
        <w:smallCaps w:val="0"/>
        <w:strike w:val="0"/>
        <w:color w:val="000000"/>
        <w:u w:val="none"/>
        <w:vertAlign w:val="baseline"/>
      </w:rPr>
    </w:lvl>
    <w:lvl w:ilvl="3">
      <w:start w:val="1"/>
      <w:numFmt w:val="lowerLetter"/>
      <w:pStyle w:val="GPSDefinitionL4"/>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F5F34FB"/>
    <w:multiLevelType w:val="multilevel"/>
    <w:tmpl w:val="8CD8B82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79336605"/>
    <w:multiLevelType w:val="multilevel"/>
    <w:tmpl w:val="489E4644"/>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648"/>
    <w:rsid w:val="005A3619"/>
    <w:rsid w:val="00AF3648"/>
    <w:rsid w:val="00CB5141"/>
    <w:rsid w:val="00D65E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664B0"/>
  <w15:docId w15:val="{7A89B35D-E031-48E9-8699-8B60201E1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MNBf9E9nXwHofrekYOJfiCDNYw==">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3179</Words>
  <Characters>18126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3</cp:revision>
  <dcterms:created xsi:type="dcterms:W3CDTF">2023-06-28T12:05:00Z</dcterms:created>
  <dcterms:modified xsi:type="dcterms:W3CDTF">2023-06-28T12:05:00Z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